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1A2" w:rsidRPr="002721A2" w:rsidRDefault="002721A2">
      <w:r>
        <w:t xml:space="preserve">Załącznik nr 6. </w:t>
      </w:r>
      <w:r w:rsidRPr="002721A2">
        <w:rPr>
          <w:i/>
        </w:rPr>
        <w:t>Mierniki postępu i skuteczności działań</w:t>
      </w:r>
      <w:r>
        <w:t xml:space="preserve"> (Typ działania nr 8 </w:t>
      </w:r>
      <w:r w:rsidRPr="002721A2">
        <w:rPr>
          <w:i/>
        </w:rPr>
        <w:t>Realizacja nowych oraz przebudowa istniejących systemów melioracyjnych w celu zapewnienia funkcji nawadniająco-odwadniających</w:t>
      </w:r>
      <w:r w:rsidRPr="002721A2">
        <w:t xml:space="preserve">. Podtyp działania nr 8.1 </w:t>
      </w:r>
      <w:r w:rsidRPr="002721A2">
        <w:rPr>
          <w:i/>
        </w:rPr>
        <w:t>Przebudowa systemów melioracyjnych</w:t>
      </w:r>
      <w:r>
        <w:t>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034"/>
        <w:gridCol w:w="866"/>
        <w:gridCol w:w="957"/>
        <w:gridCol w:w="1419"/>
        <w:gridCol w:w="1419"/>
        <w:gridCol w:w="1451"/>
        <w:gridCol w:w="1435"/>
        <w:gridCol w:w="944"/>
        <w:gridCol w:w="1555"/>
        <w:gridCol w:w="517"/>
        <w:gridCol w:w="911"/>
        <w:gridCol w:w="1126"/>
        <w:gridCol w:w="540"/>
        <w:gridCol w:w="703"/>
      </w:tblGrid>
      <w:tr w:rsidR="00636886" w:rsidRPr="00636886" w:rsidTr="00636886">
        <w:trPr>
          <w:trHeight w:val="300"/>
        </w:trPr>
        <w:tc>
          <w:tcPr>
            <w:tcW w:w="335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2721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636886" w:rsidRPr="00636886" w:rsidTr="002721A2">
        <w:trPr>
          <w:cantSplit/>
          <w:trHeight w:val="2869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działania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Obszar dorzecza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Region wodny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Referencyjne powierzchnie dla </w:t>
            </w:r>
            <w:r w:rsidR="002721A2"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planowanych</w:t>
            </w: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odbudów urządzeń melioracyjnych (grunty orne) w latach 2021-2030 tys. ha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Referencyjne powierzchnie dla </w:t>
            </w:r>
            <w:r w:rsidR="002721A2"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planowanych</w:t>
            </w: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odbudów urządzeń melioracyjnych (trwałe użytki zielone) w latach 2021-2030 tys. ha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Szacowana retencja w wyniku realizacji działa</w:t>
            </w:r>
            <w:r w:rsidRPr="00636886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ń na obszarach użytkowanych rolniczo [tys. m</w:t>
            </w:r>
            <w:r w:rsidRPr="00636886">
              <w:rPr>
                <w:rFonts w:ascii="Calibri" w:eastAsia="Times New Roman" w:hAnsi="Calibri" w:cs="Calibri"/>
                <w:b/>
                <w:bCs/>
                <w:sz w:val="12"/>
                <w:vertAlign w:val="superscript"/>
                <w:lang w:eastAsia="pl-PL"/>
              </w:rPr>
              <w:t>3</w:t>
            </w:r>
            <w:r w:rsidRPr="00636886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]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postępu grunty orne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skuteczności grunty orne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tbRl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Oczekiwana wartość miernika dla gruntów ornych na koniec wdrażania PPNW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postępu TUZ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skuteczności TUZ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textDirection w:val="tbRl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Oczekiwana wartość miernika dla TUZ na koniec wdrażania PPNW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realizacji celu w zakresie retencji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Czarnej Orawy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Czadeczki</w:t>
            </w:r>
            <w:bookmarkStart w:id="0" w:name="_GoBack"/>
            <w:bookmarkEnd w:id="0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Morawy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gruntów ornych wg CLC2018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27,19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- Zachodniej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5,48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5,47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- Wschodniej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2,35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5,24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26,46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48,34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429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Bugu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31,13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23,58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17,99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47,39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Świeżej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Świeżej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Banówki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Banówki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Metuje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Orlicy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Izery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gruntów ornych wg CLC2018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 i Ostrożnicy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gruntów ornych wg CLC2018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6,48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20,04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29,47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Warty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36,63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Noteci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7,81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4,24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7,73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Pregoły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Łyny i Węgorapy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1,49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Niemna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Niemna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  <w:tr w:rsidR="00636886" w:rsidRPr="00636886" w:rsidTr="002721A2">
        <w:trPr>
          <w:trHeight w:val="120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Dniestru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Dniestru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na której odbudowano lub przebudowano melioracje w stosunku do referencyjnej powierzchni dla planowanych odbudów urządzeń melioracyjnych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86" w:rsidRPr="00636886" w:rsidRDefault="00636886" w:rsidP="00636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63688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</w:tr>
    </w:tbl>
    <w:p w:rsidR="001117B2" w:rsidRDefault="001117B2"/>
    <w:sectPr w:rsidR="001117B2" w:rsidSect="0063688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86"/>
    <w:rsid w:val="001117B2"/>
    <w:rsid w:val="002721A2"/>
    <w:rsid w:val="0063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BA671-71DD-4FE0-877E-C5EF04B9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2022-05-12T13:21:00Z</dcterms:created>
  <dcterms:modified xsi:type="dcterms:W3CDTF">2022-05-24T12:09:00Z</dcterms:modified>
</cp:coreProperties>
</file>